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DE" w:rsidRDefault="00C742DE">
      <w:pPr>
        <w:spacing w:line="240" w:lineRule="auto"/>
        <w:rPr>
          <w:rFonts w:ascii="Times New Roman" w:eastAsia="Times New Roman" w:hAnsi="Times New Roman" w:cs="Times New Roman"/>
          <w:sz w:val="28"/>
          <w:szCs w:val="28"/>
        </w:rPr>
      </w:pPr>
      <w:bookmarkStart w:id="0" w:name="_GoBack"/>
      <w:bookmarkEnd w:id="0"/>
    </w:p>
    <w:p w:rsidR="00C742DE" w:rsidRDefault="00866096">
      <w:pPr>
        <w:spacing w:line="240" w:lineRule="auto"/>
        <w:jc w:val="center"/>
        <w:rPr>
          <w:b/>
        </w:rPr>
      </w:pPr>
      <w:r>
        <w:rPr>
          <w:b/>
          <w:noProof/>
          <w:lang w:val="en-IE"/>
        </w:rPr>
        <w:drawing>
          <wp:inline distT="114300" distB="114300" distL="114300" distR="114300">
            <wp:extent cx="1083244" cy="9638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83244" cy="963832"/>
                    </a:xfrm>
                    <a:prstGeom prst="rect">
                      <a:avLst/>
                    </a:prstGeom>
                    <a:ln/>
                  </pic:spPr>
                </pic:pic>
              </a:graphicData>
            </a:graphic>
          </wp:inline>
        </w:drawing>
      </w:r>
    </w:p>
    <w:p w:rsidR="00C742DE" w:rsidRDefault="00866096">
      <w:pPr>
        <w:spacing w:line="240" w:lineRule="auto"/>
        <w:jc w:val="center"/>
        <w:rPr>
          <w:b/>
          <w:sz w:val="26"/>
          <w:szCs w:val="26"/>
        </w:rPr>
      </w:pPr>
      <w:r>
        <w:rPr>
          <w:b/>
          <w:sz w:val="26"/>
          <w:szCs w:val="26"/>
        </w:rPr>
        <w:t>Our Lady of Good Counsel BNS</w:t>
      </w:r>
    </w:p>
    <w:p w:rsidR="00C742DE" w:rsidRDefault="00C742DE">
      <w:pPr>
        <w:spacing w:line="240" w:lineRule="auto"/>
        <w:jc w:val="center"/>
        <w:rPr>
          <w:b/>
          <w:sz w:val="26"/>
          <w:szCs w:val="26"/>
        </w:rPr>
      </w:pPr>
    </w:p>
    <w:p w:rsidR="00C742DE" w:rsidRDefault="00866096">
      <w:pPr>
        <w:spacing w:line="240" w:lineRule="auto"/>
        <w:jc w:val="center"/>
        <w:rPr>
          <w:b/>
          <w:sz w:val="26"/>
          <w:szCs w:val="26"/>
        </w:rPr>
      </w:pPr>
      <w:r>
        <w:rPr>
          <w:rFonts w:ascii="Times New Roman" w:eastAsia="Times New Roman" w:hAnsi="Times New Roman" w:cs="Times New Roman"/>
          <w:b/>
          <w:sz w:val="24"/>
          <w:szCs w:val="24"/>
          <w:u w:val="single"/>
        </w:rPr>
        <w:t xml:space="preserve">Safety, Health and Welfare Policy </w:t>
      </w:r>
    </w:p>
    <w:p w:rsidR="00C742DE" w:rsidRDefault="00C742DE">
      <w:pPr>
        <w:spacing w:line="240" w:lineRule="auto"/>
        <w:jc w:val="center"/>
        <w:rPr>
          <w:b/>
          <w:sz w:val="26"/>
          <w:szCs w:val="26"/>
        </w:rPr>
      </w:pPr>
    </w:p>
    <w:p w:rsidR="00C742DE" w:rsidRDefault="00866096">
      <w:pPr>
        <w:spacing w:line="240" w:lineRule="auto"/>
        <w:jc w:val="center"/>
        <w:rPr>
          <w:b/>
          <w:color w:val="0000FF"/>
        </w:rPr>
      </w:pPr>
      <w:r>
        <w:rPr>
          <w:b/>
          <w:color w:val="0000FF"/>
        </w:rPr>
        <w:t>_________________________________________________________________________</w:t>
      </w:r>
    </w:p>
    <w:p w:rsidR="00C742DE" w:rsidRDefault="00C742DE">
      <w:pPr>
        <w:spacing w:line="240" w:lineRule="auto"/>
        <w:rPr>
          <w:rFonts w:ascii="Times New Roman" w:eastAsia="Times New Roman" w:hAnsi="Times New Roman" w:cs="Times New Roman"/>
          <w:sz w:val="28"/>
          <w:szCs w:val="28"/>
        </w:rPr>
      </w:pPr>
    </w:p>
    <w:p w:rsidR="00C742DE" w:rsidRDefault="00866096">
      <w:pPr>
        <w:spacing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In accordance with the Safety, Health and Welfare at Work Act 2005, it is the policy of the Board of Management to ensure, so far as is reasonably practicable, the safety, health and welfare at work of all staff and to protect students, visitors, contracto</w:t>
      </w:r>
      <w:r>
        <w:rPr>
          <w:rFonts w:ascii="Times New Roman" w:eastAsia="Times New Roman" w:hAnsi="Times New Roman" w:cs="Times New Roman"/>
          <w:sz w:val="20"/>
          <w:szCs w:val="20"/>
        </w:rPr>
        <w:t>rs and other persons at the school from injury and ill health arising from any work activity.</w:t>
      </w:r>
      <w:proofErr w:type="gramEnd"/>
      <w:r>
        <w:rPr>
          <w:rFonts w:ascii="Times New Roman" w:eastAsia="Times New Roman" w:hAnsi="Times New Roman" w:cs="Times New Roman"/>
          <w:sz w:val="20"/>
          <w:szCs w:val="20"/>
        </w:rPr>
        <w:t xml:space="preserve"> The successful implementation of this policy requires the full support and active co-operation of all staff, students, contractors and visitors to the school. It </w:t>
      </w:r>
      <w:r>
        <w:rPr>
          <w:rFonts w:ascii="Times New Roman" w:eastAsia="Times New Roman" w:hAnsi="Times New Roman" w:cs="Times New Roman"/>
          <w:sz w:val="20"/>
          <w:szCs w:val="20"/>
        </w:rPr>
        <w:t xml:space="preserve">is </w:t>
      </w:r>
      <w:proofErr w:type="spellStart"/>
      <w:r>
        <w:rPr>
          <w:rFonts w:ascii="Times New Roman" w:eastAsia="Times New Roman" w:hAnsi="Times New Roman" w:cs="Times New Roman"/>
          <w:sz w:val="20"/>
          <w:szCs w:val="20"/>
        </w:rPr>
        <w:t>recognised</w:t>
      </w:r>
      <w:proofErr w:type="spellEnd"/>
      <w:r>
        <w:rPr>
          <w:rFonts w:ascii="Times New Roman" w:eastAsia="Times New Roman" w:hAnsi="Times New Roman" w:cs="Times New Roman"/>
          <w:sz w:val="20"/>
          <w:szCs w:val="20"/>
        </w:rPr>
        <w:t xml:space="preserve"> that hazard identification, risk assessment and control measures are legislative </w:t>
      </w:r>
      <w:proofErr w:type="gramStart"/>
      <w:r>
        <w:rPr>
          <w:rFonts w:ascii="Times New Roman" w:eastAsia="Times New Roman" w:hAnsi="Times New Roman" w:cs="Times New Roman"/>
          <w:sz w:val="20"/>
          <w:szCs w:val="20"/>
        </w:rPr>
        <w:t>requirements which</w:t>
      </w:r>
      <w:proofErr w:type="gramEnd"/>
      <w:r>
        <w:rPr>
          <w:rFonts w:ascii="Times New Roman" w:eastAsia="Times New Roman" w:hAnsi="Times New Roman" w:cs="Times New Roman"/>
          <w:sz w:val="20"/>
          <w:szCs w:val="20"/>
        </w:rPr>
        <w:t xml:space="preserve"> must be carried out by the employer to ensure the safety, health and welfare of all staff. The Board of Management, as employer, undertakes in</w:t>
      </w:r>
      <w:r>
        <w:rPr>
          <w:rFonts w:ascii="Times New Roman" w:eastAsia="Times New Roman" w:hAnsi="Times New Roman" w:cs="Times New Roman"/>
          <w:sz w:val="20"/>
          <w:szCs w:val="20"/>
        </w:rPr>
        <w:t xml:space="preserve"> so far as is reasonably practicable to: </w:t>
      </w:r>
    </w:p>
    <w:p w:rsidR="00C742DE" w:rsidRDefault="0086609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promote standards of safety, health and welfare that comply with the provisions and requirements of the Safety, Health and Welfare at Work Act 2005 and other relevant legislation, standards and codes of practice</w:t>
      </w:r>
      <w:r>
        <w:rPr>
          <w:rFonts w:ascii="Times New Roman" w:eastAsia="Times New Roman" w:hAnsi="Times New Roman" w:cs="Times New Roman"/>
          <w:sz w:val="20"/>
          <w:szCs w:val="20"/>
        </w:rPr>
        <w:t xml:space="preserve">; </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w:t>
      </w:r>
      <w:proofErr w:type="gramEnd"/>
      <w:r>
        <w:rPr>
          <w:rFonts w:ascii="Times New Roman" w:eastAsia="Times New Roman" w:hAnsi="Times New Roman" w:cs="Times New Roman"/>
          <w:sz w:val="20"/>
          <w:szCs w:val="20"/>
        </w:rPr>
        <w:t>. provide information, training, instruction and supervision where necessary, to enable staff to perform their work safely and effectively;</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w:t>
      </w:r>
      <w:proofErr w:type="gramEnd"/>
      <w:r>
        <w:rPr>
          <w:rFonts w:ascii="Times New Roman" w:eastAsia="Times New Roman" w:hAnsi="Times New Roman" w:cs="Times New Roman"/>
          <w:sz w:val="20"/>
          <w:szCs w:val="20"/>
        </w:rPr>
        <w:t>. maintain a constant and continuing interest in safety, health and welfare matters pertinent to the activiti</w:t>
      </w:r>
      <w:r>
        <w:rPr>
          <w:rFonts w:ascii="Times New Roman" w:eastAsia="Times New Roman" w:hAnsi="Times New Roman" w:cs="Times New Roman"/>
          <w:sz w:val="20"/>
          <w:szCs w:val="20"/>
        </w:rPr>
        <w:t xml:space="preserve">es of the school; </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continually improve the system in place for the management of occupational safety, health and welfare and review it periodically to ensure it remains relevant, appropriate and effective; </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w:t>
      </w:r>
      <w:proofErr w:type="gramEnd"/>
      <w:r>
        <w:rPr>
          <w:rFonts w:ascii="Times New Roman" w:eastAsia="Times New Roman" w:hAnsi="Times New Roman" w:cs="Times New Roman"/>
          <w:sz w:val="20"/>
          <w:szCs w:val="20"/>
        </w:rPr>
        <w:t xml:space="preserve">. consult with staff on matters related to </w:t>
      </w:r>
      <w:r>
        <w:rPr>
          <w:rFonts w:ascii="Times New Roman" w:eastAsia="Times New Roman" w:hAnsi="Times New Roman" w:cs="Times New Roman"/>
          <w:sz w:val="20"/>
          <w:szCs w:val="20"/>
        </w:rPr>
        <w:t xml:space="preserve">safety, health and welfare at work; </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f</w:t>
      </w:r>
      <w:proofErr w:type="gramEnd"/>
      <w:r>
        <w:rPr>
          <w:rFonts w:ascii="Times New Roman" w:eastAsia="Times New Roman" w:hAnsi="Times New Roman" w:cs="Times New Roman"/>
          <w:sz w:val="20"/>
          <w:szCs w:val="20"/>
        </w:rPr>
        <w:t xml:space="preserve">. provide the necessary resources to ensure the safety, health and welfare of all those to whom it owes a duty of care, including staff, students, contractors and visitors. </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are committed to having a positive work</w:t>
      </w:r>
      <w:r>
        <w:rPr>
          <w:rFonts w:ascii="Times New Roman" w:eastAsia="Times New Roman" w:hAnsi="Times New Roman" w:cs="Times New Roman"/>
          <w:sz w:val="20"/>
          <w:szCs w:val="20"/>
        </w:rPr>
        <w:t xml:space="preserve"> environment where openness, inclusion, equality and respect prevail.</w:t>
      </w:r>
    </w:p>
    <w:p w:rsidR="00C742DE" w:rsidRDefault="00C742DE">
      <w:pPr>
        <w:spacing w:line="240" w:lineRule="auto"/>
        <w:jc w:val="both"/>
        <w:rPr>
          <w:rFonts w:ascii="Times New Roman" w:eastAsia="Times New Roman" w:hAnsi="Times New Roman" w:cs="Times New Roman"/>
          <w:sz w:val="20"/>
          <w:szCs w:val="20"/>
        </w:rPr>
      </w:pPr>
    </w:p>
    <w:p w:rsidR="00C742DE" w:rsidRDefault="00866096">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Board of Management is committed to playing an active role in the implementation of this occupational safety, health and welfare policy and undertakes to review and revise it in lig</w:t>
      </w:r>
      <w:r>
        <w:rPr>
          <w:rFonts w:ascii="Times New Roman" w:eastAsia="Times New Roman" w:hAnsi="Times New Roman" w:cs="Times New Roman"/>
          <w:sz w:val="20"/>
          <w:szCs w:val="20"/>
        </w:rPr>
        <w:t>ht of changes in legislation, experience and other relevant developments.</w:t>
      </w:r>
    </w:p>
    <w:p w:rsidR="00C742DE" w:rsidRDefault="00C742DE">
      <w:pPr>
        <w:spacing w:line="240" w:lineRule="auto"/>
        <w:rPr>
          <w:rFonts w:ascii="Times New Roman" w:eastAsia="Times New Roman" w:hAnsi="Times New Roman" w:cs="Times New Roman"/>
          <w:sz w:val="20"/>
          <w:szCs w:val="20"/>
        </w:rPr>
      </w:pPr>
    </w:p>
    <w:p w:rsidR="00C742DE" w:rsidRDefault="00C742DE">
      <w:pPr>
        <w:spacing w:line="240" w:lineRule="auto"/>
        <w:rPr>
          <w:rFonts w:ascii="Times New Roman" w:eastAsia="Times New Roman" w:hAnsi="Times New Roman" w:cs="Times New Roman"/>
          <w:sz w:val="20"/>
          <w:szCs w:val="20"/>
        </w:rPr>
      </w:pPr>
    </w:p>
    <w:p w:rsidR="00C742DE" w:rsidRDefault="00C742DE">
      <w:pPr>
        <w:spacing w:line="240" w:lineRule="auto"/>
        <w:rPr>
          <w:rFonts w:ascii="Times New Roman" w:eastAsia="Times New Roman" w:hAnsi="Times New Roman" w:cs="Times New Roman"/>
          <w:sz w:val="20"/>
          <w:szCs w:val="20"/>
        </w:rPr>
      </w:pPr>
    </w:p>
    <w:p w:rsidR="00C742DE" w:rsidRDefault="008660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    Date:  15th September 2025</w:t>
      </w:r>
    </w:p>
    <w:p w:rsidR="00C742DE" w:rsidRDefault="008660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Michael J. Hunt</w:t>
      </w:r>
    </w:p>
    <w:p w:rsidR="00C742DE" w:rsidRDefault="008660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Chairperson, </w:t>
      </w:r>
    </w:p>
    <w:p w:rsidR="00C742DE" w:rsidRDefault="008660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Board of Management</w:t>
      </w:r>
      <w:r>
        <w:rPr>
          <w:rFonts w:ascii="Times New Roman" w:eastAsia="Times New Roman" w:hAnsi="Times New Roman" w:cs="Times New Roman"/>
          <w:sz w:val="20"/>
          <w:szCs w:val="20"/>
        </w:rPr>
        <w:t xml:space="preserve"> </w:t>
      </w:r>
    </w:p>
    <w:p w:rsidR="00C742DE" w:rsidRDefault="00C742DE">
      <w:pPr>
        <w:spacing w:line="240" w:lineRule="auto"/>
        <w:rPr>
          <w:rFonts w:ascii="Times New Roman" w:eastAsia="Times New Roman" w:hAnsi="Times New Roman" w:cs="Times New Roman"/>
          <w:sz w:val="24"/>
          <w:szCs w:val="24"/>
        </w:rPr>
      </w:pPr>
    </w:p>
    <w:p w:rsidR="00C742DE" w:rsidRDefault="00C742DE">
      <w:pPr>
        <w:spacing w:line="240" w:lineRule="auto"/>
        <w:rPr>
          <w:rFonts w:ascii="Times New Roman" w:eastAsia="Times New Roman" w:hAnsi="Times New Roman" w:cs="Times New Roman"/>
          <w:sz w:val="24"/>
          <w:szCs w:val="24"/>
        </w:rPr>
      </w:pPr>
    </w:p>
    <w:p w:rsidR="00C742DE" w:rsidRDefault="00C742DE"/>
    <w:sectPr w:rsidR="00C742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DE"/>
    <w:rsid w:val="00866096"/>
    <w:rsid w:val="00C742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7FC75-FEE0-4F86-9C0E-43337801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admin</cp:lastModifiedBy>
  <cp:revision>2</cp:revision>
  <dcterms:created xsi:type="dcterms:W3CDTF">2025-08-18T11:58:00Z</dcterms:created>
  <dcterms:modified xsi:type="dcterms:W3CDTF">2025-08-18T11:58:00Z</dcterms:modified>
</cp:coreProperties>
</file>